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9275" w14:textId="2D01FA66" w:rsidR="00B96D34" w:rsidRPr="00B96D34" w:rsidRDefault="00B96D34" w:rsidP="00B96D34">
      <w:pPr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B96D34">
        <w:rPr>
          <w:rFonts w:ascii="Times New Roman" w:eastAsia="Arial Unicode MS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60288" behindDoc="0" locked="0" layoutInCell="1" allowOverlap="1" wp14:anchorId="71AF824C" wp14:editId="752683BC">
            <wp:simplePos x="0" y="0"/>
            <wp:positionH relativeFrom="margin">
              <wp:align>left</wp:align>
            </wp:positionH>
            <wp:positionV relativeFrom="paragraph">
              <wp:posOffset>184785</wp:posOffset>
            </wp:positionV>
            <wp:extent cx="1485900" cy="1493520"/>
            <wp:effectExtent l="0" t="0" r="0" b="0"/>
            <wp:wrapSquare wrapText="bothSides"/>
            <wp:docPr id="11" name="Picture 4" descr="DEA col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A color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9"/>
    </w:p>
    <w:p w14:paraId="3AD77543" w14:textId="77777777" w:rsidR="00B96D34" w:rsidRPr="00B96D34" w:rsidRDefault="00B96D34" w:rsidP="00B96D34">
      <w:pPr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B96D34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ab/>
      </w:r>
      <w:r w:rsidRPr="00B96D34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ab/>
      </w:r>
      <w:r w:rsidRPr="00B96D34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ab/>
      </w:r>
      <w:r w:rsidRPr="00B96D34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ab/>
      </w:r>
    </w:p>
    <w:p w14:paraId="76BA4E3F" w14:textId="3FEFF139" w:rsidR="00B96D34" w:rsidRPr="00B96D34" w:rsidRDefault="00616E43" w:rsidP="00B96D34">
      <w:pPr>
        <w:spacing w:after="0" w:line="240" w:lineRule="auto"/>
        <w:rPr>
          <w:rFonts w:ascii="Times New Roman" w:eastAsia="Arial Unicode MS" w:hAnsi="Times New Roman" w:cs="Times New Roman"/>
          <w:b/>
          <w:i/>
          <w:kern w:val="0"/>
          <w:sz w:val="24"/>
          <w:szCs w:val="24"/>
          <w14:ligatures w14:val="none"/>
        </w:rPr>
      </w:pPr>
      <w:r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 xml:space="preserve">          </w:t>
      </w:r>
      <w:r w:rsidR="00B96D34" w:rsidRPr="00B96D34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96D34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ab/>
      </w:r>
      <w:r w:rsidR="00B96D34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ab/>
      </w:r>
      <w:r w:rsidR="008A5163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ab/>
      </w:r>
      <w:r w:rsidR="00B96D34" w:rsidRPr="00B96D34">
        <w:rPr>
          <w:rFonts w:ascii="Times New Roman" w:eastAsia="Arial Unicode MS" w:hAnsi="Times New Roman" w:cs="Times New Roman"/>
          <w:b/>
          <w:i/>
          <w:kern w:val="0"/>
          <w:sz w:val="24"/>
          <w:szCs w:val="24"/>
          <w14:ligatures w14:val="none"/>
        </w:rPr>
        <w:t>Drug Enforcement Administration</w:t>
      </w:r>
    </w:p>
    <w:p w14:paraId="6458CEF4" w14:textId="2B100244" w:rsidR="00B96D34" w:rsidRPr="00B96D34" w:rsidRDefault="00616E43" w:rsidP="00B96D34">
      <w:pPr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 xml:space="preserve">          </w:t>
      </w:r>
      <w:r w:rsidR="00B96D34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ab/>
      </w:r>
      <w:r w:rsidR="00B96D34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ab/>
      </w:r>
      <w:r w:rsidR="008A5163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ab/>
      </w:r>
      <w:r w:rsidR="00B96D34" w:rsidRPr="00B96D34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 xml:space="preserve">Administrator </w:t>
      </w:r>
      <w:r w:rsidR="006B5235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 xml:space="preserve">Terrance Cole </w:t>
      </w:r>
    </w:p>
    <w:p w14:paraId="3E086173" w14:textId="3BDB4F91" w:rsidR="00B96D34" w:rsidRPr="00B96D34" w:rsidRDefault="00616E43" w:rsidP="00B96D34">
      <w:pPr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 xml:space="preserve">          </w:t>
      </w:r>
      <w:r w:rsidR="00230A6E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96D34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ab/>
      </w:r>
      <w:r w:rsidR="0094646D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ab/>
      </w:r>
      <w:r w:rsidR="008A5163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ab/>
      </w:r>
      <w:hyperlink r:id="rId9" w:history="1">
        <w:r w:rsidR="008A5163" w:rsidRPr="00473712">
          <w:rPr>
            <w:rStyle w:val="Hyperlink"/>
            <w:rFonts w:ascii="Times New Roman" w:eastAsia="Arial Unicode MS" w:hAnsi="Times New Roman" w:cs="Times New Roman"/>
            <w:kern w:val="0"/>
            <w:sz w:val="24"/>
            <w:szCs w:val="24"/>
            <w14:ligatures w14:val="none"/>
          </w:rPr>
          <w:t>www.dea.gov</w:t>
        </w:r>
      </w:hyperlink>
      <w:r w:rsidR="00B96D34" w:rsidRPr="00B96D34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ab/>
      </w:r>
    </w:p>
    <w:p w14:paraId="628F4773" w14:textId="2033BD20" w:rsidR="00B96D34" w:rsidRPr="00B96D34" w:rsidRDefault="00616E43" w:rsidP="00B96D34">
      <w:pPr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 xml:space="preserve">     </w:t>
      </w:r>
      <w:r w:rsidR="00B96D34" w:rsidRPr="00B96D34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ab/>
      </w:r>
      <w:r w:rsidR="00B96D34" w:rsidRPr="00B96D34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ab/>
      </w:r>
      <w:r w:rsidR="00B96D34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ab/>
      </w:r>
      <w:r w:rsidR="008A5163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ab/>
      </w:r>
      <w:r w:rsidR="00B96D34" w:rsidRPr="00B96D34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@DEAHQ</w:t>
      </w:r>
    </w:p>
    <w:p w14:paraId="2DB4FC57" w14:textId="77777777" w:rsidR="00B96D34" w:rsidRPr="00B96D34" w:rsidRDefault="00B96D34" w:rsidP="00B96D34">
      <w:pPr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</w:p>
    <w:p w14:paraId="13416F39" w14:textId="52C0AC4A" w:rsidR="00B96D34" w:rsidRPr="00B96D34" w:rsidRDefault="00F16641" w:rsidP="0094646D">
      <w:pPr>
        <w:spacing w:after="0" w:line="240" w:lineRule="auto"/>
        <w:ind w:left="5040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December 3</w:t>
      </w:r>
      <w:r w:rsidR="00B96D34" w:rsidRPr="00B96D34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, 202</w:t>
      </w:r>
      <w:r w:rsidR="006B5235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5</w:t>
      </w:r>
      <w:r w:rsidR="00B96D34" w:rsidRPr="00B96D34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br/>
        <w:t>Contact: DEA Media Affairs</w:t>
      </w:r>
    </w:p>
    <w:p w14:paraId="50549A79" w14:textId="67449145" w:rsidR="00B96D34" w:rsidRPr="00B96D34" w:rsidRDefault="00B96D34" w:rsidP="0094646D">
      <w:pPr>
        <w:spacing w:after="0" w:line="240" w:lineRule="auto"/>
        <w:ind w:left="5040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B96D34">
        <w:rPr>
          <w:rFonts w:ascii="Times New Roman" w:eastAsia="Arial Unicode MS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198B350" wp14:editId="64D91F48">
                <wp:simplePos x="0" y="0"/>
                <wp:positionH relativeFrom="column">
                  <wp:posOffset>3547110</wp:posOffset>
                </wp:positionH>
                <wp:positionV relativeFrom="paragraph">
                  <wp:posOffset>257810</wp:posOffset>
                </wp:positionV>
                <wp:extent cx="2657475" cy="312420"/>
                <wp:effectExtent l="0" t="0" r="9525" b="0"/>
                <wp:wrapNone/>
                <wp:docPr id="166632677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798DF4" w14:textId="77777777" w:rsidR="00B96D34" w:rsidRPr="00B96D34" w:rsidRDefault="00B96D34" w:rsidP="00B96D34">
                            <w:pPr>
                              <w:tabs>
                                <w:tab w:val="left" w:pos="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96D34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4"/>
                                <w:szCs w:val="24"/>
                              </w:rPr>
                              <w:t>For Immediate Release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8B35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9.3pt;margin-top:20.3pt;width:209.25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" o:allowincell="f" stroked="f">
                <v:textbox>
                  <w:txbxContent>
                    <w:p w14:paraId="1C798DF4" w14:textId="77777777" w:rsidR="00B96D34" w:rsidRPr="00B96D34" w:rsidRDefault="00B96D34" w:rsidP="00B96D34">
                      <w:pPr>
                        <w:tabs>
                          <w:tab w:val="left" w:pos="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96D34">
                        <w:rPr>
                          <w:rFonts w:ascii="Times New Roman" w:hAnsi="Times New Roman" w:cs="Times New Roman"/>
                          <w:b/>
                          <w:caps/>
                          <w:sz w:val="24"/>
                          <w:szCs w:val="24"/>
                        </w:rPr>
                        <w:t>For Immediate Release</w:t>
                      </w:r>
                    </w:p>
                  </w:txbxContent>
                </v:textbox>
              </v:shape>
            </w:pict>
          </mc:Fallback>
        </mc:AlternateContent>
      </w:r>
      <w:r w:rsidRPr="00B96D34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571-776-2508</w:t>
      </w:r>
      <w:r w:rsidRPr="00B96D34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ab/>
      </w:r>
      <w:r w:rsidRPr="00B96D34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ab/>
      </w:r>
      <w:r w:rsidRPr="00B96D34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ab/>
      </w:r>
      <w:r w:rsidRPr="00B96D34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ab/>
      </w:r>
      <w:r w:rsidRPr="00B96D34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ab/>
      </w:r>
      <w:r w:rsidRPr="00B96D34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ab/>
      </w:r>
      <w:r w:rsidRPr="00B96D34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ab/>
      </w:r>
      <w:r w:rsidRPr="00B96D34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ab/>
      </w:r>
    </w:p>
    <w:p w14:paraId="58B6F9B5" w14:textId="30DE9D48" w:rsidR="00B96D34" w:rsidRPr="00B96D34" w:rsidRDefault="00B96D34" w:rsidP="00B96D34">
      <w:pPr>
        <w:spacing w:after="0" w:line="240" w:lineRule="auto"/>
        <w:rPr>
          <w:rFonts w:ascii="Times New Roman" w:eastAsia="Arial Unicode MS" w:hAnsi="Times New Roman" w:cs="Times New Roman"/>
          <w:b/>
          <w:i/>
          <w:kern w:val="0"/>
          <w:sz w:val="24"/>
          <w:szCs w:val="24"/>
          <w14:ligatures w14:val="none"/>
        </w:rPr>
      </w:pPr>
      <w:r w:rsidRPr="00B96D34">
        <w:rPr>
          <w:rFonts w:ascii="Times New Roman" w:eastAsia="Arial Unicode MS" w:hAnsi="Times New Roman" w:cs="Times New Roman"/>
          <w:b/>
          <w:i/>
          <w:kern w:val="0"/>
          <w:sz w:val="24"/>
          <w:szCs w:val="24"/>
          <w14:ligatures w14:val="none"/>
        </w:rPr>
        <w:t>NEWS RELEASE</w:t>
      </w:r>
      <w:r w:rsidRPr="00B96D34">
        <w:rPr>
          <w:rFonts w:ascii="Times New Roman" w:eastAsia="Arial Unicode MS" w:hAnsi="Times New Roman" w:cs="Times New Roman"/>
          <w:b/>
          <w:i/>
          <w:kern w:val="0"/>
          <w:sz w:val="24"/>
          <w:szCs w:val="24"/>
          <w14:ligatures w14:val="none"/>
        </w:rPr>
        <w:tab/>
      </w:r>
      <w:r w:rsidRPr="00B96D34">
        <w:rPr>
          <w:rFonts w:ascii="Times New Roman" w:eastAsia="Arial Unicode MS" w:hAnsi="Times New Roman" w:cs="Times New Roman"/>
          <w:b/>
          <w:i/>
          <w:kern w:val="0"/>
          <w:sz w:val="24"/>
          <w:szCs w:val="24"/>
          <w14:ligatures w14:val="none"/>
        </w:rPr>
        <w:tab/>
      </w:r>
    </w:p>
    <w:p w14:paraId="6A61939C" w14:textId="77777777" w:rsidR="00F16641" w:rsidRDefault="0041300F" w:rsidP="00F1664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1" w:name="OLE_LINK5"/>
      <w:r w:rsidRPr="0041300F">
        <w:rPr>
          <w:rFonts w:eastAsia="Arial Unicode MS"/>
          <w:b/>
          <w:sz w:val="32"/>
          <w:szCs w:val="32"/>
        </w:rPr>
        <w:br/>
      </w:r>
      <w:bookmarkEnd w:id="0"/>
      <w:bookmarkEnd w:id="1"/>
      <w:r w:rsidR="00F16641">
        <w:rPr>
          <w:rStyle w:val="normaltextrun"/>
          <w:rFonts w:eastAsiaTheme="majorEastAsia"/>
          <w:b/>
          <w:bCs/>
          <w:sz w:val="32"/>
          <w:szCs w:val="32"/>
        </w:rPr>
        <w:t xml:space="preserve">DEA Launches </w:t>
      </w:r>
      <w:r w:rsidR="00F16641">
        <w:rPr>
          <w:rStyle w:val="normaltextrun"/>
          <w:rFonts w:eastAsiaTheme="majorEastAsia"/>
          <w:b/>
          <w:bCs/>
          <w:i/>
          <w:iCs/>
          <w:sz w:val="32"/>
          <w:szCs w:val="32"/>
        </w:rPr>
        <w:t>Fentanyl Free America</w:t>
      </w:r>
      <w:r w:rsidR="00F16641">
        <w:rPr>
          <w:rStyle w:val="normaltextrun"/>
          <w:rFonts w:eastAsiaTheme="majorEastAsia"/>
          <w:b/>
          <w:bCs/>
          <w:sz w:val="32"/>
          <w:szCs w:val="32"/>
        </w:rPr>
        <w:t xml:space="preserve"> Initiative to Combat the Synthetic Drug Crisis</w:t>
      </w:r>
      <w:r w:rsidR="00F16641">
        <w:rPr>
          <w:rStyle w:val="eop"/>
          <w:rFonts w:eastAsiaTheme="majorEastAsia"/>
          <w:sz w:val="32"/>
          <w:szCs w:val="32"/>
        </w:rPr>
        <w:t> </w:t>
      </w:r>
    </w:p>
    <w:p w14:paraId="3C68B6B7" w14:textId="405FB249" w:rsidR="00F16641" w:rsidRDefault="00616E43" w:rsidP="00F1664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 </w:t>
      </w:r>
    </w:p>
    <w:p w14:paraId="7C4119F0" w14:textId="30A59AA9" w:rsidR="005A0A49" w:rsidRDefault="00F16641" w:rsidP="00F16641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  <w:b/>
          <w:bCs/>
        </w:rPr>
        <w:t xml:space="preserve">WASHINGTON </w:t>
      </w:r>
      <w:r>
        <w:rPr>
          <w:rStyle w:val="normaltextrun"/>
          <w:rFonts w:eastAsiaTheme="majorEastAsia"/>
        </w:rPr>
        <w:t xml:space="preserve">– </w:t>
      </w:r>
      <w:r w:rsidR="00A2511F">
        <w:rPr>
          <w:rStyle w:val="normaltextrun"/>
          <w:rFonts w:eastAsiaTheme="majorEastAsia"/>
        </w:rPr>
        <w:t>The U.S. Drug Enforcement</w:t>
      </w:r>
      <w:r w:rsidR="003E6DFB">
        <w:rPr>
          <w:rStyle w:val="normaltextrun"/>
          <w:rFonts w:eastAsiaTheme="majorEastAsia"/>
        </w:rPr>
        <w:t xml:space="preserve"> Administration is intensifying its fight against the deadly threat of synthetic opioids with the launch of </w:t>
      </w:r>
      <w:r w:rsidR="003E6DFB">
        <w:rPr>
          <w:rStyle w:val="normaltextrun"/>
          <w:rFonts w:eastAsiaTheme="majorEastAsia"/>
          <w:i/>
          <w:iCs/>
        </w:rPr>
        <w:t xml:space="preserve">Fentanyl Free America, </w:t>
      </w:r>
      <w:r w:rsidR="00CD7D86">
        <w:rPr>
          <w:rStyle w:val="normaltextrun"/>
          <w:rFonts w:eastAsiaTheme="majorEastAsia"/>
        </w:rPr>
        <w:t xml:space="preserve">a </w:t>
      </w:r>
      <w:r w:rsidR="00B673B3">
        <w:rPr>
          <w:rStyle w:val="normaltextrun"/>
          <w:rFonts w:eastAsiaTheme="majorEastAsia"/>
        </w:rPr>
        <w:t xml:space="preserve">comprehensive </w:t>
      </w:r>
      <w:r w:rsidR="003E6DFB">
        <w:rPr>
          <w:rFonts w:eastAsiaTheme="majorEastAsia"/>
        </w:rPr>
        <w:t xml:space="preserve">enforcement </w:t>
      </w:r>
      <w:r w:rsidR="00B673B3">
        <w:rPr>
          <w:rFonts w:eastAsiaTheme="majorEastAsia"/>
        </w:rPr>
        <w:t xml:space="preserve">initiative </w:t>
      </w:r>
      <w:r w:rsidR="003E6DFB">
        <w:rPr>
          <w:rFonts w:eastAsiaTheme="majorEastAsia"/>
        </w:rPr>
        <w:t>and</w:t>
      </w:r>
      <w:r w:rsidR="003E6DFB" w:rsidRPr="003E6DFB">
        <w:rPr>
          <w:rFonts w:eastAsiaTheme="majorEastAsia"/>
        </w:rPr>
        <w:t xml:space="preserve"> public awareness campaign </w:t>
      </w:r>
      <w:r w:rsidR="00B673B3">
        <w:rPr>
          <w:rFonts w:eastAsiaTheme="majorEastAsia"/>
        </w:rPr>
        <w:t xml:space="preserve">aimed at </w:t>
      </w:r>
      <w:r w:rsidR="003E6DFB" w:rsidRPr="003E6DFB">
        <w:rPr>
          <w:rFonts w:eastAsiaTheme="majorEastAsia"/>
        </w:rPr>
        <w:t>reduc</w:t>
      </w:r>
      <w:r w:rsidR="00B673B3">
        <w:rPr>
          <w:rFonts w:eastAsiaTheme="majorEastAsia"/>
        </w:rPr>
        <w:t>ing</w:t>
      </w:r>
      <w:r w:rsidR="003E6DFB" w:rsidRPr="003E6DFB">
        <w:rPr>
          <w:rFonts w:eastAsiaTheme="majorEastAsia"/>
        </w:rPr>
        <w:t xml:space="preserve"> </w:t>
      </w:r>
      <w:r w:rsidR="00CD7D86">
        <w:rPr>
          <w:rFonts w:eastAsiaTheme="majorEastAsia"/>
        </w:rPr>
        <w:t xml:space="preserve">both </w:t>
      </w:r>
      <w:r w:rsidR="003E6DFB" w:rsidRPr="003E6DFB">
        <w:rPr>
          <w:rFonts w:eastAsiaTheme="majorEastAsia"/>
        </w:rPr>
        <w:t xml:space="preserve">the supply and demand for fentanyl. This </w:t>
      </w:r>
      <w:r w:rsidR="00B673B3">
        <w:rPr>
          <w:rFonts w:eastAsiaTheme="majorEastAsia"/>
        </w:rPr>
        <w:t>effor</w:t>
      </w:r>
      <w:r w:rsidR="001F452C">
        <w:rPr>
          <w:rFonts w:eastAsiaTheme="majorEastAsia"/>
        </w:rPr>
        <w:t>t</w:t>
      </w:r>
      <w:r w:rsidR="00B673B3">
        <w:rPr>
          <w:rFonts w:eastAsiaTheme="majorEastAsia"/>
        </w:rPr>
        <w:t xml:space="preserve"> </w:t>
      </w:r>
      <w:r w:rsidR="003E6DFB" w:rsidRPr="003E6DFB">
        <w:rPr>
          <w:rFonts w:eastAsiaTheme="majorEastAsia"/>
        </w:rPr>
        <w:t>underscores DEA's unwavering commitment to protect</w:t>
      </w:r>
      <w:r w:rsidR="00B673B3">
        <w:rPr>
          <w:rFonts w:eastAsiaTheme="majorEastAsia"/>
        </w:rPr>
        <w:t>ing</w:t>
      </w:r>
      <w:r w:rsidR="00B0419F">
        <w:rPr>
          <w:rFonts w:eastAsiaTheme="majorEastAsia"/>
        </w:rPr>
        <w:t xml:space="preserve"> </w:t>
      </w:r>
      <w:r w:rsidR="003E6DFB" w:rsidRPr="003E6DFB">
        <w:rPr>
          <w:rFonts w:eastAsiaTheme="majorEastAsia"/>
        </w:rPr>
        <w:t>American lives and communities from the devastating impact</w:t>
      </w:r>
      <w:r w:rsidR="00B0419F">
        <w:rPr>
          <w:rFonts w:eastAsiaTheme="majorEastAsia"/>
        </w:rPr>
        <w:t>s</w:t>
      </w:r>
      <w:r w:rsidR="003E6DFB" w:rsidRPr="003E6DFB">
        <w:rPr>
          <w:rFonts w:eastAsiaTheme="majorEastAsia"/>
        </w:rPr>
        <w:t xml:space="preserve"> of fentanyl, which </w:t>
      </w:r>
      <w:r w:rsidR="00B0419F">
        <w:rPr>
          <w:rFonts w:eastAsiaTheme="majorEastAsia"/>
        </w:rPr>
        <w:t xml:space="preserve">claimed nearly 50,000 lives last year according to the Centers for Disease Control and Prevention (CDC). </w:t>
      </w:r>
    </w:p>
    <w:p w14:paraId="4A64ADC0" w14:textId="77777777" w:rsidR="00F16641" w:rsidRDefault="00F16641" w:rsidP="00F166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5313B81" w14:textId="7CAE15E0" w:rsidR="00166D99" w:rsidRDefault="00B673B3" w:rsidP="00CD7D8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 xml:space="preserve">Through intensified enforcement operations and </w:t>
      </w:r>
      <w:r w:rsidR="00506090">
        <w:rPr>
          <w:rStyle w:val="normaltextrun"/>
          <w:rFonts w:eastAsiaTheme="majorEastAsia"/>
        </w:rPr>
        <w:t xml:space="preserve">heightened </w:t>
      </w:r>
      <w:r>
        <w:rPr>
          <w:rStyle w:val="normaltextrun"/>
          <w:rFonts w:eastAsiaTheme="majorEastAsia"/>
        </w:rPr>
        <w:t xml:space="preserve">intelligence, DEA is applying unprecedented pressure on the </w:t>
      </w:r>
      <w:r w:rsidR="006F53F5">
        <w:rPr>
          <w:rStyle w:val="normaltextrun"/>
          <w:rFonts w:eastAsiaTheme="majorEastAsia"/>
        </w:rPr>
        <w:t>global fentanyl supply chain</w:t>
      </w:r>
      <w:r>
        <w:rPr>
          <w:rStyle w:val="normaltextrun"/>
          <w:rFonts w:eastAsiaTheme="majorEastAsia"/>
        </w:rPr>
        <w:t xml:space="preserve">, forcing </w:t>
      </w:r>
      <w:r w:rsidR="00166D99">
        <w:rPr>
          <w:rStyle w:val="normaltextrun"/>
          <w:rFonts w:eastAsiaTheme="majorEastAsia"/>
        </w:rPr>
        <w:t xml:space="preserve">narco-terrorists, like the </w:t>
      </w:r>
      <w:r w:rsidR="006F53F5">
        <w:rPr>
          <w:rStyle w:val="normaltextrun"/>
          <w:rFonts w:eastAsiaTheme="majorEastAsia"/>
        </w:rPr>
        <w:t xml:space="preserve">Sinaloa </w:t>
      </w:r>
      <w:r w:rsidR="003A0FE8">
        <w:rPr>
          <w:rStyle w:val="normaltextrun"/>
          <w:rFonts w:eastAsiaTheme="majorEastAsia"/>
        </w:rPr>
        <w:t>C</w:t>
      </w:r>
      <w:r w:rsidR="00166D99">
        <w:rPr>
          <w:rStyle w:val="normaltextrun"/>
          <w:rFonts w:eastAsiaTheme="majorEastAsia"/>
        </w:rPr>
        <w:t xml:space="preserve">artel </w:t>
      </w:r>
      <w:r w:rsidR="006F53F5">
        <w:rPr>
          <w:rStyle w:val="normaltextrun"/>
          <w:rFonts w:eastAsiaTheme="majorEastAsia"/>
        </w:rPr>
        <w:t>and CJNG</w:t>
      </w:r>
      <w:r w:rsidR="00166D99">
        <w:rPr>
          <w:rStyle w:val="normaltextrun"/>
          <w:rFonts w:eastAsiaTheme="majorEastAsia"/>
        </w:rPr>
        <w:t xml:space="preserve"> </w:t>
      </w:r>
      <w:r w:rsidR="003A0FE8">
        <w:rPr>
          <w:rStyle w:val="normaltextrun"/>
          <w:rFonts w:eastAsiaTheme="majorEastAsia"/>
        </w:rPr>
        <w:t>C</w:t>
      </w:r>
      <w:r w:rsidR="00166D99">
        <w:rPr>
          <w:rStyle w:val="normaltextrun"/>
          <w:rFonts w:eastAsiaTheme="majorEastAsia"/>
        </w:rPr>
        <w:t xml:space="preserve">artel, </w:t>
      </w:r>
      <w:r w:rsidR="006F53F5">
        <w:rPr>
          <w:rStyle w:val="normaltextrun"/>
          <w:rFonts w:eastAsiaTheme="majorEastAsia"/>
        </w:rPr>
        <w:t xml:space="preserve">to change </w:t>
      </w:r>
      <w:r w:rsidR="00B36A27">
        <w:rPr>
          <w:rStyle w:val="normaltextrun"/>
          <w:rFonts w:eastAsiaTheme="majorEastAsia"/>
        </w:rPr>
        <w:t xml:space="preserve">their </w:t>
      </w:r>
      <w:r w:rsidR="006F53F5">
        <w:rPr>
          <w:rStyle w:val="normaltextrun"/>
          <w:rFonts w:eastAsiaTheme="majorEastAsia"/>
        </w:rPr>
        <w:t>business practices</w:t>
      </w:r>
      <w:r w:rsidR="00B36A27">
        <w:rPr>
          <w:rStyle w:val="normaltextrun"/>
          <w:rFonts w:eastAsiaTheme="majorEastAsia"/>
        </w:rPr>
        <w:t>. This h</w:t>
      </w:r>
      <w:r w:rsidR="00166D99">
        <w:rPr>
          <w:rStyle w:val="normaltextrun"/>
          <w:rFonts w:eastAsiaTheme="majorEastAsia"/>
        </w:rPr>
        <w:t xml:space="preserve">as led </w:t>
      </w:r>
      <w:r w:rsidR="006F53F5">
        <w:rPr>
          <w:rStyle w:val="normaltextrun"/>
          <w:rFonts w:eastAsiaTheme="majorEastAsia"/>
        </w:rPr>
        <w:t xml:space="preserve">to encouraging signs </w:t>
      </w:r>
      <w:r w:rsidR="00DD754D">
        <w:rPr>
          <w:rStyle w:val="normaltextrun"/>
          <w:rFonts w:eastAsiaTheme="majorEastAsia"/>
        </w:rPr>
        <w:t>of progress</w:t>
      </w:r>
      <w:r w:rsidR="006F53F5">
        <w:rPr>
          <w:rStyle w:val="normaltextrun"/>
          <w:rFonts w:eastAsiaTheme="majorEastAsia"/>
        </w:rPr>
        <w:t>.</w:t>
      </w:r>
      <w:r w:rsidR="006F53F5" w:rsidRPr="006F53F5">
        <w:rPr>
          <w:rStyle w:val="normaltextrun"/>
          <w:rFonts w:eastAsiaTheme="majorEastAsia"/>
        </w:rPr>
        <w:t xml:space="preserve"> </w:t>
      </w:r>
      <w:r w:rsidR="00166D99">
        <w:rPr>
          <w:rStyle w:val="normaltextrun"/>
          <w:rFonts w:eastAsiaTheme="majorEastAsia"/>
        </w:rPr>
        <w:t xml:space="preserve">DEA </w:t>
      </w:r>
      <w:r w:rsidR="00B36A27">
        <w:rPr>
          <w:rStyle w:val="normaltextrun"/>
          <w:rFonts w:eastAsiaTheme="majorEastAsia"/>
        </w:rPr>
        <w:t>laboratory testing indicates</w:t>
      </w:r>
      <w:r w:rsidR="00166D99">
        <w:rPr>
          <w:rStyle w:val="normaltextrun"/>
          <w:rFonts w:eastAsiaTheme="majorEastAsia"/>
        </w:rPr>
        <w:t xml:space="preserve"> </w:t>
      </w:r>
      <w:r w:rsidR="006F53F5">
        <w:rPr>
          <w:rStyle w:val="normaltextrun"/>
          <w:rFonts w:eastAsiaTheme="majorEastAsia"/>
        </w:rPr>
        <w:t xml:space="preserve">29% of fentanyl pills </w:t>
      </w:r>
      <w:r w:rsidR="00B36A27">
        <w:rPr>
          <w:rStyle w:val="normaltextrun"/>
          <w:rFonts w:eastAsiaTheme="majorEastAsia"/>
        </w:rPr>
        <w:t xml:space="preserve">analyzed during </w:t>
      </w:r>
      <w:r w:rsidR="00166D99">
        <w:rPr>
          <w:rStyle w:val="normaltextrun"/>
          <w:rFonts w:eastAsiaTheme="majorEastAsia"/>
        </w:rPr>
        <w:t>fiscal year (FY) 2025 con</w:t>
      </w:r>
      <w:r w:rsidR="006F53F5">
        <w:rPr>
          <w:rStyle w:val="normaltextrun"/>
          <w:rFonts w:eastAsiaTheme="majorEastAsia"/>
        </w:rPr>
        <w:t>tained a potentially lethal dose</w:t>
      </w:r>
      <w:r w:rsidR="00B36A27">
        <w:rPr>
          <w:rStyle w:val="normaltextrun"/>
          <w:rFonts w:eastAsiaTheme="majorEastAsia"/>
        </w:rPr>
        <w:t xml:space="preserve">, a significant drop from </w:t>
      </w:r>
      <w:r w:rsidR="006F53F5">
        <w:rPr>
          <w:rStyle w:val="normaltextrun"/>
          <w:rFonts w:eastAsiaTheme="majorEastAsia"/>
        </w:rPr>
        <w:t xml:space="preserve">76% of pills tested just two years </w:t>
      </w:r>
      <w:r w:rsidR="00DD754D">
        <w:rPr>
          <w:rStyle w:val="normaltextrun"/>
          <w:rFonts w:eastAsiaTheme="majorEastAsia"/>
        </w:rPr>
        <w:t xml:space="preserve">prior </w:t>
      </w:r>
      <w:r w:rsidR="006F53F5">
        <w:rPr>
          <w:rStyle w:val="normaltextrun"/>
          <w:rFonts w:eastAsiaTheme="majorEastAsia"/>
        </w:rPr>
        <w:t xml:space="preserve">in FY 2023. </w:t>
      </w:r>
      <w:r w:rsidR="00B36A27">
        <w:rPr>
          <w:rStyle w:val="normaltextrun"/>
          <w:rFonts w:eastAsiaTheme="majorEastAsia"/>
        </w:rPr>
        <w:t>Additionally, f</w:t>
      </w:r>
      <w:r w:rsidR="006F53F5">
        <w:rPr>
          <w:rStyle w:val="normaltextrun"/>
          <w:rFonts w:eastAsiaTheme="majorEastAsia"/>
        </w:rPr>
        <w:t xml:space="preserve">entanyl powder purity </w:t>
      </w:r>
      <w:r w:rsidR="00B60627">
        <w:rPr>
          <w:rStyle w:val="normaltextrun"/>
          <w:rFonts w:eastAsiaTheme="majorEastAsia"/>
        </w:rPr>
        <w:t>d</w:t>
      </w:r>
      <w:r w:rsidR="006F53F5">
        <w:rPr>
          <w:rStyle w:val="normaltextrun"/>
          <w:rFonts w:eastAsiaTheme="majorEastAsia"/>
        </w:rPr>
        <w:t>ecreased to 10.3%, down from 19.5%</w:t>
      </w:r>
      <w:r w:rsidR="001F452C">
        <w:rPr>
          <w:rStyle w:val="normaltextrun"/>
          <w:rFonts w:eastAsiaTheme="majorEastAsia"/>
        </w:rPr>
        <w:t xml:space="preserve"> during the same time period</w:t>
      </w:r>
      <w:r w:rsidR="006F53F5">
        <w:rPr>
          <w:rStyle w:val="normaltextrun"/>
          <w:rFonts w:eastAsiaTheme="majorEastAsia"/>
        </w:rPr>
        <w:t>. Th</w:t>
      </w:r>
      <w:r w:rsidR="00506090">
        <w:rPr>
          <w:rStyle w:val="normaltextrun"/>
          <w:rFonts w:eastAsiaTheme="majorEastAsia"/>
        </w:rPr>
        <w:t xml:space="preserve">ese reductions in potency and </w:t>
      </w:r>
      <w:r w:rsidR="006F53F5">
        <w:rPr>
          <w:rStyle w:val="normaltextrun"/>
          <w:rFonts w:eastAsiaTheme="majorEastAsia"/>
        </w:rPr>
        <w:t xml:space="preserve">purity correlate with a decline in synthetic opioid deaths to levels not seen since April 2020. </w:t>
      </w:r>
    </w:p>
    <w:p w14:paraId="0EF71C4B" w14:textId="77777777" w:rsidR="00B96763" w:rsidRDefault="00B96763" w:rsidP="00B96763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10D18A71" w14:textId="77777777" w:rsidR="00BA23CD" w:rsidRDefault="00BA23CD" w:rsidP="00CD7D8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Aside from producing less potent fentanyl, the cartels have increasingly diversified their operations in an attempt to minimize their risks and maximize profits, an evolution driven by opportunity and greed.</w:t>
      </w:r>
    </w:p>
    <w:p w14:paraId="36CB9290" w14:textId="77777777" w:rsidR="00BA23CD" w:rsidRDefault="00BA23CD" w:rsidP="00CD7D8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05A30164" w14:textId="51B8BA30" w:rsidR="00166D99" w:rsidRDefault="002C2553" w:rsidP="00CD7D8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 xml:space="preserve">As of December 1, 2025, </w:t>
      </w:r>
      <w:r w:rsidR="007131EE">
        <w:rPr>
          <w:rStyle w:val="normaltextrun"/>
          <w:rFonts w:eastAsiaTheme="majorEastAsia"/>
        </w:rPr>
        <w:t xml:space="preserve">DEA has seized more than 45 million fentanyl pills, and </w:t>
      </w:r>
      <w:r w:rsidR="0017430F">
        <w:rPr>
          <w:rStyle w:val="normaltextrun"/>
          <w:rFonts w:eastAsiaTheme="majorEastAsia"/>
        </w:rPr>
        <w:t xml:space="preserve">more than 9,000 </w:t>
      </w:r>
      <w:r w:rsidR="007131EE">
        <w:rPr>
          <w:rStyle w:val="normaltextrun"/>
          <w:rFonts w:eastAsiaTheme="majorEastAsia"/>
        </w:rPr>
        <w:t>pounds of fentanyl powder</w:t>
      </w:r>
      <w:r w:rsidR="0017430F">
        <w:rPr>
          <w:rStyle w:val="normaltextrun"/>
          <w:rFonts w:eastAsiaTheme="majorEastAsia"/>
        </w:rPr>
        <w:t xml:space="preserve">, removing </w:t>
      </w:r>
      <w:r>
        <w:rPr>
          <w:rStyle w:val="normaltextrun"/>
          <w:rFonts w:eastAsiaTheme="majorEastAsia"/>
        </w:rPr>
        <w:t xml:space="preserve">an estimated </w:t>
      </w:r>
      <w:r w:rsidR="007131EE">
        <w:rPr>
          <w:rStyle w:val="normaltextrun"/>
          <w:rFonts w:eastAsiaTheme="majorEastAsia"/>
        </w:rPr>
        <w:t xml:space="preserve">347 million potentially deadly doses of fentanyl from </w:t>
      </w:r>
      <w:r>
        <w:rPr>
          <w:rStyle w:val="normaltextrun"/>
          <w:rFonts w:eastAsiaTheme="majorEastAsia"/>
        </w:rPr>
        <w:t xml:space="preserve">our </w:t>
      </w:r>
      <w:r w:rsidR="007131EE">
        <w:rPr>
          <w:rStyle w:val="normaltextrun"/>
          <w:rFonts w:eastAsiaTheme="majorEastAsia"/>
        </w:rPr>
        <w:t xml:space="preserve">communities. </w:t>
      </w:r>
      <w:r w:rsidR="0017430F">
        <w:rPr>
          <w:rStyle w:val="normaltextrun"/>
          <w:rFonts w:eastAsiaTheme="majorEastAsia"/>
        </w:rPr>
        <w:t>DEA intelligence</w:t>
      </w:r>
      <w:r>
        <w:rPr>
          <w:rStyle w:val="normaltextrun"/>
          <w:rFonts w:eastAsiaTheme="majorEastAsia"/>
        </w:rPr>
        <w:t xml:space="preserve"> indicates a shift in cartel operations, </w:t>
      </w:r>
      <w:r w:rsidR="003F528F">
        <w:rPr>
          <w:rStyle w:val="normaltextrun"/>
          <w:rFonts w:eastAsiaTheme="majorEastAsia"/>
        </w:rPr>
        <w:t xml:space="preserve">with increased trafficking </w:t>
      </w:r>
      <w:r>
        <w:rPr>
          <w:rStyle w:val="normaltextrun"/>
          <w:rFonts w:eastAsiaTheme="majorEastAsia"/>
        </w:rPr>
        <w:t>of fentanyl powder</w:t>
      </w:r>
      <w:r w:rsidR="003F528F">
        <w:rPr>
          <w:rStyle w:val="normaltextrun"/>
          <w:rFonts w:eastAsiaTheme="majorEastAsia"/>
        </w:rPr>
        <w:t xml:space="preserve"> and domestic production of fentanyl pills. </w:t>
      </w:r>
      <w:r w:rsidR="003A0FE8">
        <w:rPr>
          <w:rStyle w:val="normaltextrun"/>
          <w:rFonts w:eastAsiaTheme="majorEastAsia"/>
        </w:rPr>
        <w:t xml:space="preserve">The seizure of more than </w:t>
      </w:r>
      <w:r w:rsidR="00B96763">
        <w:rPr>
          <w:rStyle w:val="normaltextrun"/>
          <w:rFonts w:eastAsiaTheme="majorEastAsia"/>
        </w:rPr>
        <w:t>two dozen pill press</w:t>
      </w:r>
      <w:r w:rsidR="003F528F">
        <w:rPr>
          <w:rStyle w:val="normaltextrun"/>
          <w:rFonts w:eastAsiaTheme="majorEastAsia"/>
        </w:rPr>
        <w:t xml:space="preserve"> machines in </w:t>
      </w:r>
      <w:r w:rsidR="003A0FE8">
        <w:rPr>
          <w:rStyle w:val="normaltextrun"/>
          <w:rFonts w:eastAsiaTheme="majorEastAsia"/>
        </w:rPr>
        <w:t xml:space="preserve">October </w:t>
      </w:r>
      <w:r w:rsidR="003F528F">
        <w:rPr>
          <w:rStyle w:val="normaltextrun"/>
          <w:rFonts w:eastAsiaTheme="majorEastAsia"/>
        </w:rPr>
        <w:t>further highlights this trend.</w:t>
      </w:r>
    </w:p>
    <w:p w14:paraId="764F8731" w14:textId="77777777" w:rsidR="00B96763" w:rsidRDefault="00B96763" w:rsidP="00B96763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0DD17455" w14:textId="6C2F7A73" w:rsidR="003A0FE8" w:rsidRDefault="003A0FE8" w:rsidP="003A0FE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 w:rsidRPr="00616E43">
        <w:rPr>
          <w:rStyle w:val="normaltextrun"/>
          <w:rFonts w:eastAsiaTheme="majorEastAsia"/>
        </w:rPr>
        <w:t>"</w:t>
      </w:r>
      <w:r w:rsidR="004E33B9" w:rsidRPr="00616E43">
        <w:rPr>
          <w:rStyle w:val="normaltextrun"/>
          <w:rFonts w:eastAsiaTheme="majorEastAsia"/>
        </w:rPr>
        <w:t xml:space="preserve">Fentanyl Free America </w:t>
      </w:r>
      <w:r w:rsidR="00324203" w:rsidRPr="00616E43">
        <w:rPr>
          <w:rStyle w:val="normaltextrun"/>
          <w:rFonts w:eastAsiaTheme="majorEastAsia"/>
        </w:rPr>
        <w:t>represents</w:t>
      </w:r>
      <w:r w:rsidR="004E33B9" w:rsidRPr="00616E43">
        <w:rPr>
          <w:rStyle w:val="normaltextrun"/>
          <w:rFonts w:eastAsiaTheme="majorEastAsia"/>
        </w:rPr>
        <w:t xml:space="preserve"> DEA’s unwavering commitment to save American lives</w:t>
      </w:r>
      <w:r w:rsidR="00324203" w:rsidRPr="00616E43">
        <w:rPr>
          <w:rStyle w:val="normaltextrun"/>
          <w:rFonts w:eastAsiaTheme="majorEastAsia"/>
        </w:rPr>
        <w:t xml:space="preserve"> and end the fentanyl crisis</w:t>
      </w:r>
      <w:r w:rsidR="00A40FD0" w:rsidRPr="00616E43">
        <w:rPr>
          <w:rStyle w:val="normaltextrun"/>
          <w:rFonts w:eastAsiaTheme="majorEastAsia"/>
        </w:rPr>
        <w:t>,</w:t>
      </w:r>
      <w:r w:rsidR="00875BC9" w:rsidRPr="00616E43">
        <w:rPr>
          <w:rStyle w:val="normaltextrun"/>
          <w:rFonts w:eastAsiaTheme="majorEastAsia"/>
        </w:rPr>
        <w:t xml:space="preserve"> </w:t>
      </w:r>
      <w:r w:rsidR="00616E43">
        <w:rPr>
          <w:rStyle w:val="normaltextrun"/>
          <w:rFonts w:eastAsiaTheme="majorEastAsia"/>
        </w:rPr>
        <w:t>w</w:t>
      </w:r>
      <w:r w:rsidRPr="00616E43">
        <w:rPr>
          <w:rStyle w:val="normaltextrun"/>
          <w:rFonts w:eastAsiaTheme="majorEastAsia"/>
        </w:rPr>
        <w:t xml:space="preserve">e are making </w:t>
      </w:r>
      <w:r w:rsidR="00324203" w:rsidRPr="00616E43">
        <w:rPr>
          <w:rStyle w:val="normaltextrun"/>
          <w:rFonts w:eastAsiaTheme="majorEastAsia"/>
        </w:rPr>
        <w:t xml:space="preserve">significant </w:t>
      </w:r>
      <w:r w:rsidRPr="00616E43">
        <w:rPr>
          <w:rStyle w:val="normaltextrun"/>
          <w:rFonts w:eastAsiaTheme="majorEastAsia"/>
        </w:rPr>
        <w:t>progress</w:t>
      </w:r>
      <w:r w:rsidR="00324203" w:rsidRPr="00616E43">
        <w:rPr>
          <w:rStyle w:val="normaltextrun"/>
          <w:rFonts w:eastAsiaTheme="majorEastAsia"/>
        </w:rPr>
        <w:t xml:space="preserve"> </w:t>
      </w:r>
      <w:r w:rsidR="00A40FD0" w:rsidRPr="00616E43">
        <w:rPr>
          <w:rStyle w:val="normaltextrun"/>
          <w:rFonts w:eastAsiaTheme="majorEastAsia"/>
        </w:rPr>
        <w:t>in this fight,</w:t>
      </w:r>
      <w:r w:rsidR="00324203" w:rsidRPr="00616E43">
        <w:rPr>
          <w:rStyle w:val="normaltextrun"/>
          <w:rFonts w:eastAsiaTheme="majorEastAsia"/>
        </w:rPr>
        <w:t xml:space="preserve"> and </w:t>
      </w:r>
      <w:r w:rsidR="00A40FD0" w:rsidRPr="00616E43">
        <w:rPr>
          <w:rStyle w:val="normaltextrun"/>
          <w:rFonts w:eastAsiaTheme="majorEastAsia"/>
        </w:rPr>
        <w:t>we must continue to intensify efforts to disrupt the fentanyl supply and reduce demand</w:t>
      </w:r>
      <w:r w:rsidR="00875BC9" w:rsidRPr="00616E43">
        <w:rPr>
          <w:rStyle w:val="normaltextrun"/>
          <w:rFonts w:eastAsiaTheme="majorEastAsia"/>
        </w:rPr>
        <w:t xml:space="preserve">,” </w:t>
      </w:r>
      <w:r w:rsidR="00875BC9" w:rsidRPr="00616E43">
        <w:rPr>
          <w:rFonts w:eastAsiaTheme="majorEastAsia"/>
        </w:rPr>
        <w:t xml:space="preserve">said DEA Administrator </w:t>
      </w:r>
      <w:r w:rsidR="00875BC9" w:rsidRPr="00616E43">
        <w:rPr>
          <w:rFonts w:eastAsiaTheme="majorEastAsia"/>
        </w:rPr>
        <w:lastRenderedPageBreak/>
        <w:t>Terrance Cole.</w:t>
      </w:r>
      <w:r w:rsidR="00A40FD0" w:rsidRPr="00616E43">
        <w:rPr>
          <w:rStyle w:val="normaltextrun"/>
          <w:rFonts w:eastAsiaTheme="majorEastAsia"/>
        </w:rPr>
        <w:t xml:space="preserve"> </w:t>
      </w:r>
      <w:r w:rsidR="00875BC9" w:rsidRPr="00616E43">
        <w:rPr>
          <w:rStyle w:val="normaltextrun"/>
          <w:rFonts w:eastAsiaTheme="majorEastAsia"/>
        </w:rPr>
        <w:t>“</w:t>
      </w:r>
      <w:r w:rsidR="004E33B9" w:rsidRPr="00616E43">
        <w:rPr>
          <w:rStyle w:val="normaltextrun"/>
          <w:rFonts w:eastAsiaTheme="majorEastAsia"/>
        </w:rPr>
        <w:t>DEA is striking harder and evolving faster to dismantle the foreign terrorists fueling th</w:t>
      </w:r>
      <w:r w:rsidR="00A40FD0" w:rsidRPr="00616E43">
        <w:rPr>
          <w:rStyle w:val="normaltextrun"/>
          <w:rFonts w:eastAsiaTheme="majorEastAsia"/>
        </w:rPr>
        <w:t xml:space="preserve">is </w:t>
      </w:r>
      <w:r w:rsidR="004E33B9" w:rsidRPr="00616E43">
        <w:rPr>
          <w:rStyle w:val="normaltextrun"/>
          <w:rFonts w:eastAsiaTheme="majorEastAsia"/>
        </w:rPr>
        <w:t xml:space="preserve">crisis, </w:t>
      </w:r>
      <w:r w:rsidR="00324203" w:rsidRPr="00616E43">
        <w:rPr>
          <w:rStyle w:val="normaltextrun"/>
          <w:rFonts w:eastAsiaTheme="majorEastAsia"/>
        </w:rPr>
        <w:t xml:space="preserve">while empowering </w:t>
      </w:r>
      <w:r w:rsidR="00DC17C1" w:rsidRPr="00616E43">
        <w:rPr>
          <w:rStyle w:val="normaltextrun"/>
          <w:rFonts w:eastAsiaTheme="majorEastAsia"/>
        </w:rPr>
        <w:t>all our partners</w:t>
      </w:r>
      <w:r w:rsidR="004E33B9" w:rsidRPr="00616E43">
        <w:rPr>
          <w:rStyle w:val="normaltextrun"/>
          <w:rFonts w:eastAsiaTheme="majorEastAsia"/>
        </w:rPr>
        <w:t xml:space="preserve"> </w:t>
      </w:r>
      <w:r w:rsidR="001F4D34" w:rsidRPr="00616E43">
        <w:rPr>
          <w:rStyle w:val="normaltextrun"/>
          <w:rFonts w:eastAsiaTheme="majorEastAsia"/>
        </w:rPr>
        <w:t xml:space="preserve">to </w:t>
      </w:r>
      <w:r w:rsidR="00324203" w:rsidRPr="00616E43">
        <w:rPr>
          <w:rStyle w:val="normaltextrun"/>
          <w:rFonts w:eastAsiaTheme="majorEastAsia"/>
        </w:rPr>
        <w:t xml:space="preserve">join the fight to </w:t>
      </w:r>
      <w:r w:rsidR="001F4D34" w:rsidRPr="00616E43">
        <w:rPr>
          <w:rStyle w:val="normaltextrun"/>
          <w:rFonts w:eastAsiaTheme="majorEastAsia"/>
        </w:rPr>
        <w:t xml:space="preserve">prevent </w:t>
      </w:r>
      <w:r w:rsidR="004E33B9" w:rsidRPr="00616E43">
        <w:rPr>
          <w:rStyle w:val="normaltextrun"/>
          <w:rFonts w:eastAsiaTheme="majorEastAsia"/>
        </w:rPr>
        <w:t>fentanyl-related tragedies</w:t>
      </w:r>
      <w:r w:rsidR="00324203" w:rsidRPr="00616E43">
        <w:rPr>
          <w:rStyle w:val="normaltextrun"/>
          <w:rFonts w:eastAsiaTheme="majorEastAsia"/>
        </w:rPr>
        <w:t>.</w:t>
      </w:r>
      <w:r w:rsidR="00616E43">
        <w:rPr>
          <w:rStyle w:val="normaltextrun"/>
          <w:rFonts w:eastAsiaTheme="majorEastAsia"/>
        </w:rPr>
        <w:t xml:space="preserve"> </w:t>
      </w:r>
      <w:r w:rsidR="00875BC9" w:rsidRPr="00616E43">
        <w:rPr>
          <w:rStyle w:val="normaltextrun"/>
          <w:rFonts w:eastAsiaTheme="majorEastAsia"/>
        </w:rPr>
        <w:t xml:space="preserve">Together, we can achieve a </w:t>
      </w:r>
      <w:r w:rsidR="001F4D34" w:rsidRPr="00616E43">
        <w:rPr>
          <w:rStyle w:val="normaltextrun"/>
          <w:rFonts w:eastAsiaTheme="majorEastAsia"/>
        </w:rPr>
        <w:t>fentanyl</w:t>
      </w:r>
      <w:r w:rsidR="00875BC9" w:rsidRPr="00616E43">
        <w:rPr>
          <w:rStyle w:val="normaltextrun"/>
          <w:rFonts w:eastAsiaTheme="majorEastAsia"/>
        </w:rPr>
        <w:t xml:space="preserve"> </w:t>
      </w:r>
      <w:r w:rsidR="004E33B9" w:rsidRPr="00616E43">
        <w:rPr>
          <w:rStyle w:val="normaltextrun"/>
          <w:rFonts w:eastAsiaTheme="majorEastAsia"/>
        </w:rPr>
        <w:t>free</w:t>
      </w:r>
      <w:r w:rsidR="001F4D34" w:rsidRPr="00616E43">
        <w:rPr>
          <w:rStyle w:val="normaltextrun"/>
          <w:rFonts w:eastAsiaTheme="majorEastAsia"/>
        </w:rPr>
        <w:t xml:space="preserve"> America </w:t>
      </w:r>
      <w:r w:rsidR="00875BC9" w:rsidRPr="00616E43">
        <w:rPr>
          <w:rStyle w:val="normaltextrun"/>
          <w:rFonts w:eastAsiaTheme="majorEastAsia"/>
        </w:rPr>
        <w:t xml:space="preserve">and </w:t>
      </w:r>
      <w:r w:rsidR="001F4D34" w:rsidRPr="00616E43">
        <w:rPr>
          <w:rStyle w:val="normaltextrun"/>
          <w:rFonts w:eastAsiaTheme="majorEastAsia"/>
        </w:rPr>
        <w:t xml:space="preserve">create a safer future for generations to come.” </w:t>
      </w:r>
    </w:p>
    <w:p w14:paraId="7703014A" w14:textId="77777777" w:rsidR="00B96763" w:rsidRPr="00756EC0" w:rsidRDefault="00B96763" w:rsidP="00B96763">
      <w:pPr>
        <w:pStyle w:val="paragraph"/>
        <w:spacing w:before="0" w:beforeAutospacing="0" w:after="0" w:afterAutospacing="0"/>
        <w:textAlignment w:val="baseline"/>
        <w:rPr>
          <w:rFonts w:eastAsiaTheme="majorEastAsia"/>
        </w:rPr>
      </w:pPr>
    </w:p>
    <w:p w14:paraId="0422CA1D" w14:textId="74433F35" w:rsidR="00CD7D86" w:rsidRDefault="00B0449C" w:rsidP="00CD7D86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</w:rPr>
        <w:t>DEA remains at the forefront of the fight to disrupt trafficking networks and strengthen the government’s response to this epidemic.</w:t>
      </w:r>
      <w:r w:rsidR="00616E43">
        <w:rPr>
          <w:rStyle w:val="normaltextrun"/>
          <w:rFonts w:eastAsiaTheme="majorEastAsia"/>
        </w:rPr>
        <w:t xml:space="preserve"> </w:t>
      </w:r>
      <w:r w:rsidR="00CD7D86">
        <w:rPr>
          <w:rStyle w:val="normaltextrun"/>
          <w:rFonts w:eastAsiaTheme="majorEastAsia"/>
          <w:i/>
          <w:iCs/>
        </w:rPr>
        <w:t xml:space="preserve">Fentanyl Free America </w:t>
      </w:r>
      <w:r w:rsidR="003F528F">
        <w:rPr>
          <w:rStyle w:val="normaltextrun"/>
          <w:rFonts w:eastAsiaTheme="majorEastAsia"/>
        </w:rPr>
        <w:t xml:space="preserve">represents </w:t>
      </w:r>
      <w:r w:rsidR="00CD7D86">
        <w:rPr>
          <w:rStyle w:val="normaltextrun"/>
          <w:rFonts w:eastAsiaTheme="majorEastAsia"/>
        </w:rPr>
        <w:t xml:space="preserve">DEA’s heightened focus on enforcement, education, </w:t>
      </w:r>
      <w:r w:rsidR="003F528F">
        <w:rPr>
          <w:rStyle w:val="normaltextrun"/>
          <w:rFonts w:eastAsiaTheme="majorEastAsia"/>
        </w:rPr>
        <w:t xml:space="preserve">public </w:t>
      </w:r>
      <w:r w:rsidR="00CD7D86">
        <w:rPr>
          <w:rStyle w:val="normaltextrun"/>
          <w:rFonts w:eastAsiaTheme="majorEastAsia"/>
        </w:rPr>
        <w:t xml:space="preserve">awareness, and strategic partnerships. The goal </w:t>
      </w:r>
      <w:r w:rsidR="001F452C">
        <w:rPr>
          <w:rStyle w:val="normaltextrun"/>
          <w:rFonts w:eastAsiaTheme="majorEastAsia"/>
        </w:rPr>
        <w:t xml:space="preserve">of the campaign </w:t>
      </w:r>
      <w:r w:rsidR="003F528F">
        <w:rPr>
          <w:rStyle w:val="normaltextrun"/>
          <w:rFonts w:eastAsiaTheme="majorEastAsia"/>
        </w:rPr>
        <w:t xml:space="preserve">is clear: </w:t>
      </w:r>
      <w:r w:rsidR="00CD7D86">
        <w:rPr>
          <w:rStyle w:val="normaltextrun"/>
          <w:rFonts w:eastAsiaTheme="majorEastAsia"/>
        </w:rPr>
        <w:t xml:space="preserve">eliminate the fentanyl supply </w:t>
      </w:r>
      <w:r w:rsidR="003F528F">
        <w:rPr>
          <w:rStyle w:val="normaltextrun"/>
          <w:rFonts w:eastAsiaTheme="majorEastAsia"/>
        </w:rPr>
        <w:t xml:space="preserve">fueling the nation’s </w:t>
      </w:r>
      <w:r w:rsidR="00CD7D86">
        <w:rPr>
          <w:rStyle w:val="normaltextrun"/>
          <w:rFonts w:eastAsiaTheme="majorEastAsia"/>
        </w:rPr>
        <w:t xml:space="preserve">deadliest drug crisis. </w:t>
      </w:r>
      <w:r w:rsidR="003F528F">
        <w:rPr>
          <w:rStyle w:val="normaltextrun"/>
          <w:rFonts w:eastAsiaTheme="majorEastAsia"/>
        </w:rPr>
        <w:t xml:space="preserve">Since 2021, synthetic opioids have claimed nearly </w:t>
      </w:r>
      <w:r w:rsidR="00CD7D86">
        <w:rPr>
          <w:rStyle w:val="normaltextrun"/>
          <w:rFonts w:eastAsiaTheme="majorEastAsia"/>
        </w:rPr>
        <w:t xml:space="preserve">325,000 American </w:t>
      </w:r>
      <w:r w:rsidR="003F528F">
        <w:rPr>
          <w:rStyle w:val="normaltextrun"/>
          <w:rFonts w:eastAsiaTheme="majorEastAsia"/>
        </w:rPr>
        <w:t>lives</w:t>
      </w:r>
      <w:r w:rsidR="00A5170D">
        <w:rPr>
          <w:rStyle w:val="normaltextrun"/>
          <w:rFonts w:eastAsiaTheme="majorEastAsia"/>
        </w:rPr>
        <w:t xml:space="preserve">. </w:t>
      </w:r>
    </w:p>
    <w:p w14:paraId="00C5CC7C" w14:textId="77777777" w:rsidR="00A2511F" w:rsidRDefault="00A2511F" w:rsidP="00F16641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2303E50D" w14:textId="7ADC600C" w:rsidR="00F16641" w:rsidRDefault="00A5170D" w:rsidP="00F16641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</w:rPr>
        <w:t xml:space="preserve">The </w:t>
      </w:r>
      <w:r w:rsidR="00F16641">
        <w:rPr>
          <w:rStyle w:val="normaltextrun"/>
          <w:rFonts w:eastAsiaTheme="majorEastAsia"/>
          <w:i/>
          <w:iCs/>
        </w:rPr>
        <w:t>Fentanyl Free America</w:t>
      </w:r>
      <w:r w:rsidR="00A2511F">
        <w:rPr>
          <w:rStyle w:val="normaltextrun"/>
          <w:rFonts w:eastAsiaTheme="majorEastAsia"/>
          <w:i/>
          <w:iCs/>
        </w:rPr>
        <w:t xml:space="preserve"> </w:t>
      </w:r>
      <w:r w:rsidR="00A2511F">
        <w:rPr>
          <w:rStyle w:val="normaltextrun"/>
          <w:rFonts w:eastAsiaTheme="majorEastAsia"/>
        </w:rPr>
        <w:t>campaign</w:t>
      </w:r>
      <w:r>
        <w:rPr>
          <w:rStyle w:val="normaltextrun"/>
          <w:rFonts w:eastAsiaTheme="majorEastAsia"/>
        </w:rPr>
        <w:t xml:space="preserve"> also emphasizes the importance of public engagement.</w:t>
      </w:r>
      <w:r w:rsidR="00616E43">
        <w:rPr>
          <w:rStyle w:val="normaltextrun"/>
          <w:rFonts w:eastAsiaTheme="majorEastAsia"/>
        </w:rPr>
        <w:t xml:space="preserve"> </w:t>
      </w:r>
      <w:r>
        <w:rPr>
          <w:rStyle w:val="normaltextrun"/>
          <w:rFonts w:eastAsiaTheme="majorEastAsia"/>
        </w:rPr>
        <w:t>DEA encourages everyone from community leaders, clergy, educators, parents, physicians, pharmacists</w:t>
      </w:r>
      <w:r w:rsidR="00B0449C">
        <w:rPr>
          <w:rStyle w:val="normaltextrun"/>
          <w:rFonts w:eastAsiaTheme="majorEastAsia"/>
        </w:rPr>
        <w:t>,</w:t>
      </w:r>
      <w:r>
        <w:rPr>
          <w:rStyle w:val="normaltextrun"/>
          <w:rFonts w:eastAsiaTheme="majorEastAsia"/>
        </w:rPr>
        <w:t xml:space="preserve"> and law enforcement to take an active role in r</w:t>
      </w:r>
      <w:r w:rsidR="00F16641">
        <w:rPr>
          <w:rStyle w:val="normaltextrun"/>
          <w:rFonts w:eastAsiaTheme="majorEastAsia"/>
        </w:rPr>
        <w:t xml:space="preserve">aising awareness by </w:t>
      </w:r>
      <w:r w:rsidR="00B0449C">
        <w:rPr>
          <w:rStyle w:val="normaltextrun"/>
          <w:rFonts w:eastAsiaTheme="majorEastAsia"/>
        </w:rPr>
        <w:t xml:space="preserve">protecting others through </w:t>
      </w:r>
      <w:r w:rsidR="00F16641">
        <w:rPr>
          <w:rStyle w:val="normaltextrun"/>
          <w:rFonts w:eastAsiaTheme="majorEastAsia"/>
        </w:rPr>
        <w:t>education</w:t>
      </w:r>
      <w:r>
        <w:rPr>
          <w:rStyle w:val="normaltextrun"/>
          <w:rFonts w:eastAsiaTheme="majorEastAsia"/>
        </w:rPr>
        <w:t xml:space="preserve">; </w:t>
      </w:r>
      <w:r w:rsidR="00F16641">
        <w:rPr>
          <w:rStyle w:val="normaltextrun"/>
          <w:rFonts w:eastAsiaTheme="majorEastAsia"/>
        </w:rPr>
        <w:t>preventing fentanyl overdoses by understanding the dangers</w:t>
      </w:r>
      <w:r>
        <w:rPr>
          <w:rStyle w:val="normaltextrun"/>
          <w:rFonts w:eastAsiaTheme="majorEastAsia"/>
        </w:rPr>
        <w:t xml:space="preserve">; </w:t>
      </w:r>
      <w:r w:rsidR="00F16641">
        <w:rPr>
          <w:rStyle w:val="normaltextrun"/>
          <w:rFonts w:eastAsiaTheme="majorEastAsia"/>
        </w:rPr>
        <w:t>and supporting those impacted.</w:t>
      </w:r>
      <w:r w:rsidR="00616E43">
        <w:rPr>
          <w:rStyle w:val="normaltextrun"/>
          <w:rFonts w:eastAsiaTheme="majorEastAsia"/>
        </w:rPr>
        <w:t xml:space="preserve"> </w:t>
      </w:r>
      <w:r w:rsidR="00A2511F">
        <w:rPr>
          <w:rStyle w:val="normaltextrun"/>
          <w:rFonts w:eastAsiaTheme="majorEastAsia"/>
        </w:rPr>
        <w:t>F</w:t>
      </w:r>
      <w:r w:rsidR="00F16641">
        <w:rPr>
          <w:rStyle w:val="normaltextrun"/>
          <w:rFonts w:eastAsiaTheme="majorEastAsia"/>
        </w:rPr>
        <w:t xml:space="preserve">ree </w:t>
      </w:r>
      <w:r>
        <w:rPr>
          <w:rStyle w:val="normaltextrun"/>
          <w:rFonts w:eastAsiaTheme="majorEastAsia"/>
        </w:rPr>
        <w:t xml:space="preserve">resources </w:t>
      </w:r>
      <w:r w:rsidR="00B0449C">
        <w:rPr>
          <w:rStyle w:val="normaltextrun"/>
          <w:rFonts w:eastAsiaTheme="majorEastAsia"/>
        </w:rPr>
        <w:t xml:space="preserve">including </w:t>
      </w:r>
      <w:r>
        <w:rPr>
          <w:rStyle w:val="normaltextrun"/>
          <w:rFonts w:eastAsiaTheme="majorEastAsia"/>
        </w:rPr>
        <w:t>p</w:t>
      </w:r>
      <w:r w:rsidR="00F16641">
        <w:rPr>
          <w:rStyle w:val="normaltextrun"/>
          <w:rFonts w:eastAsiaTheme="majorEastAsia"/>
        </w:rPr>
        <w:t xml:space="preserve">osters, radio advertising, billboards, and social media resources </w:t>
      </w:r>
      <w:r w:rsidR="00A2511F">
        <w:rPr>
          <w:rStyle w:val="normaltextrun"/>
          <w:rFonts w:eastAsiaTheme="majorEastAsia"/>
        </w:rPr>
        <w:t xml:space="preserve">are available </w:t>
      </w:r>
      <w:r w:rsidR="00F16641">
        <w:rPr>
          <w:rStyle w:val="normaltextrun"/>
          <w:rFonts w:eastAsiaTheme="majorEastAsia"/>
        </w:rPr>
        <w:t>at dea.gov/fentanylfree.</w:t>
      </w:r>
      <w:r w:rsidR="00616E43">
        <w:rPr>
          <w:rStyle w:val="normaltextrun"/>
          <w:rFonts w:eastAsiaTheme="majorEastAsia"/>
        </w:rPr>
        <w:t xml:space="preserve"> </w:t>
      </w:r>
    </w:p>
    <w:p w14:paraId="142D2135" w14:textId="77777777" w:rsidR="00F16641" w:rsidRDefault="00F16641" w:rsidP="00F166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776EAAD" w14:textId="6805EC46" w:rsidR="00F16641" w:rsidRDefault="00F16641" w:rsidP="00F16641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</w:rPr>
        <w:t xml:space="preserve">DEA’s efforts are part of a larger whole-of-government </w:t>
      </w:r>
      <w:r w:rsidR="00B4070A">
        <w:rPr>
          <w:rStyle w:val="normaltextrun"/>
          <w:rFonts w:eastAsiaTheme="majorEastAsia"/>
        </w:rPr>
        <w:t xml:space="preserve">strategy </w:t>
      </w:r>
      <w:r>
        <w:rPr>
          <w:rStyle w:val="normaltextrun"/>
          <w:rFonts w:eastAsiaTheme="majorEastAsia"/>
        </w:rPr>
        <w:t>to dismantl</w:t>
      </w:r>
      <w:r w:rsidR="00B4070A">
        <w:rPr>
          <w:rStyle w:val="normaltextrun"/>
          <w:rFonts w:eastAsiaTheme="majorEastAsia"/>
        </w:rPr>
        <w:t xml:space="preserve">e </w:t>
      </w:r>
      <w:r>
        <w:rPr>
          <w:rStyle w:val="normaltextrun"/>
          <w:rFonts w:eastAsiaTheme="majorEastAsia"/>
        </w:rPr>
        <w:t>transnational criminal organizations and protect U.S. communities</w:t>
      </w:r>
      <w:r w:rsidR="00B4070A">
        <w:rPr>
          <w:rStyle w:val="normaltextrun"/>
          <w:rFonts w:eastAsiaTheme="majorEastAsia"/>
        </w:rPr>
        <w:t xml:space="preserve"> from fentanyl</w:t>
      </w:r>
      <w:r>
        <w:rPr>
          <w:rStyle w:val="normaltextrun"/>
          <w:rFonts w:eastAsiaTheme="majorEastAsia"/>
        </w:rPr>
        <w:t>.</w:t>
      </w:r>
      <w:r w:rsidR="00616E43">
        <w:rPr>
          <w:rStyle w:val="normaltextrun"/>
          <w:rFonts w:eastAsiaTheme="majorEastAsia"/>
        </w:rPr>
        <w:t xml:space="preserve"> </w:t>
      </w:r>
    </w:p>
    <w:p w14:paraId="5E475540" w14:textId="77777777" w:rsidR="00A2511F" w:rsidRDefault="00A2511F" w:rsidP="00F166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815EF93" w14:textId="77777777" w:rsidR="00F16641" w:rsidRDefault="00F16641" w:rsidP="00F1664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# # #</w:t>
      </w:r>
      <w:r>
        <w:rPr>
          <w:rStyle w:val="eop"/>
          <w:rFonts w:eastAsiaTheme="majorEastAsia"/>
        </w:rPr>
        <w:t> </w:t>
      </w:r>
    </w:p>
    <w:p w14:paraId="67CE5597" w14:textId="5C94B67D" w:rsidR="00E50874" w:rsidRPr="006E50F9" w:rsidRDefault="00E50874" w:rsidP="00F166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50874" w:rsidRPr="006E5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E87"/>
    <w:multiLevelType w:val="multilevel"/>
    <w:tmpl w:val="A07E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D938B2"/>
    <w:multiLevelType w:val="multilevel"/>
    <w:tmpl w:val="6BA4E8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91B7EA7"/>
    <w:multiLevelType w:val="hybridMultilevel"/>
    <w:tmpl w:val="1B224234"/>
    <w:lvl w:ilvl="0" w:tplc="8DCE9538">
      <w:numFmt w:val="bullet"/>
      <w:lvlText w:val=""/>
      <w:lvlJc w:val="left"/>
      <w:pPr>
        <w:ind w:left="1080" w:hanging="360"/>
      </w:pPr>
      <w:rPr>
        <w:rFonts w:ascii="Symbol" w:eastAsia="Apto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A876FA"/>
    <w:multiLevelType w:val="multilevel"/>
    <w:tmpl w:val="2D1A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4666A"/>
    <w:multiLevelType w:val="hybridMultilevel"/>
    <w:tmpl w:val="7AEE80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D1184E"/>
    <w:multiLevelType w:val="multilevel"/>
    <w:tmpl w:val="4360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AA7015"/>
    <w:multiLevelType w:val="hybridMultilevel"/>
    <w:tmpl w:val="FA3C8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077FD"/>
    <w:multiLevelType w:val="multilevel"/>
    <w:tmpl w:val="CC4A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D05B15"/>
    <w:multiLevelType w:val="multilevel"/>
    <w:tmpl w:val="1378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E8629F"/>
    <w:multiLevelType w:val="hybridMultilevel"/>
    <w:tmpl w:val="4E64C4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46060A"/>
    <w:multiLevelType w:val="hybridMultilevel"/>
    <w:tmpl w:val="BB5E7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D558F"/>
    <w:multiLevelType w:val="multilevel"/>
    <w:tmpl w:val="1FC4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445EA0"/>
    <w:multiLevelType w:val="multilevel"/>
    <w:tmpl w:val="C852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BC72F1"/>
    <w:multiLevelType w:val="multilevel"/>
    <w:tmpl w:val="D5F8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026FAC"/>
    <w:multiLevelType w:val="multilevel"/>
    <w:tmpl w:val="C5D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FE6C69"/>
    <w:multiLevelType w:val="multilevel"/>
    <w:tmpl w:val="A8AE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B56A77"/>
    <w:multiLevelType w:val="hybridMultilevel"/>
    <w:tmpl w:val="524206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5445AD"/>
    <w:multiLevelType w:val="multilevel"/>
    <w:tmpl w:val="A556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58122E"/>
    <w:multiLevelType w:val="multilevel"/>
    <w:tmpl w:val="32A6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43B4AB2"/>
    <w:multiLevelType w:val="hybridMultilevel"/>
    <w:tmpl w:val="CAEA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192389">
    <w:abstractNumId w:val="5"/>
  </w:num>
  <w:num w:numId="2" w16cid:durableId="1902666968">
    <w:abstractNumId w:val="17"/>
  </w:num>
  <w:num w:numId="3" w16cid:durableId="116416286">
    <w:abstractNumId w:val="3"/>
  </w:num>
  <w:num w:numId="4" w16cid:durableId="1209416192">
    <w:abstractNumId w:val="2"/>
  </w:num>
  <w:num w:numId="5" w16cid:durableId="45029424">
    <w:abstractNumId w:val="9"/>
  </w:num>
  <w:num w:numId="6" w16cid:durableId="1916432226">
    <w:abstractNumId w:val="16"/>
  </w:num>
  <w:num w:numId="7" w16cid:durableId="731580989">
    <w:abstractNumId w:val="0"/>
  </w:num>
  <w:num w:numId="8" w16cid:durableId="2084643159">
    <w:abstractNumId w:val="1"/>
  </w:num>
  <w:num w:numId="9" w16cid:durableId="362243790">
    <w:abstractNumId w:val="11"/>
  </w:num>
  <w:num w:numId="10" w16cid:durableId="1300258576">
    <w:abstractNumId w:val="13"/>
  </w:num>
  <w:num w:numId="11" w16cid:durableId="311638991">
    <w:abstractNumId w:val="7"/>
  </w:num>
  <w:num w:numId="12" w16cid:durableId="622732783">
    <w:abstractNumId w:val="8"/>
  </w:num>
  <w:num w:numId="13" w16cid:durableId="285157853">
    <w:abstractNumId w:val="18"/>
  </w:num>
  <w:num w:numId="14" w16cid:durableId="1213465127">
    <w:abstractNumId w:val="12"/>
  </w:num>
  <w:num w:numId="15" w16cid:durableId="292297864">
    <w:abstractNumId w:val="15"/>
  </w:num>
  <w:num w:numId="16" w16cid:durableId="1851260946">
    <w:abstractNumId w:val="14"/>
  </w:num>
  <w:num w:numId="17" w16cid:durableId="1576818657">
    <w:abstractNumId w:val="6"/>
  </w:num>
  <w:num w:numId="18" w16cid:durableId="10331192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6072745">
    <w:abstractNumId w:val="4"/>
  </w:num>
  <w:num w:numId="20" w16cid:durableId="1183125689">
    <w:abstractNumId w:val="10"/>
  </w:num>
  <w:num w:numId="21" w16cid:durableId="27663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34"/>
    <w:rsid w:val="000061B1"/>
    <w:rsid w:val="00016E9E"/>
    <w:rsid w:val="000303AA"/>
    <w:rsid w:val="0003187D"/>
    <w:rsid w:val="00093DBA"/>
    <w:rsid w:val="00093E63"/>
    <w:rsid w:val="00096B06"/>
    <w:rsid w:val="000B20C5"/>
    <w:rsid w:val="000C330D"/>
    <w:rsid w:val="000C4C61"/>
    <w:rsid w:val="000C543D"/>
    <w:rsid w:val="000E48A6"/>
    <w:rsid w:val="000F1F67"/>
    <w:rsid w:val="000F653B"/>
    <w:rsid w:val="0011024A"/>
    <w:rsid w:val="00120F5F"/>
    <w:rsid w:val="00134F25"/>
    <w:rsid w:val="00166D99"/>
    <w:rsid w:val="0017021C"/>
    <w:rsid w:val="0017430F"/>
    <w:rsid w:val="0019083B"/>
    <w:rsid w:val="001A1CE8"/>
    <w:rsid w:val="001B2083"/>
    <w:rsid w:val="001D1F8B"/>
    <w:rsid w:val="001F452C"/>
    <w:rsid w:val="001F4D34"/>
    <w:rsid w:val="001F75F7"/>
    <w:rsid w:val="002105C4"/>
    <w:rsid w:val="00220AEA"/>
    <w:rsid w:val="00227FED"/>
    <w:rsid w:val="00230A6E"/>
    <w:rsid w:val="0026457B"/>
    <w:rsid w:val="00282260"/>
    <w:rsid w:val="0029387C"/>
    <w:rsid w:val="002C2553"/>
    <w:rsid w:val="002C7358"/>
    <w:rsid w:val="002E4ED4"/>
    <w:rsid w:val="002F3C32"/>
    <w:rsid w:val="00324203"/>
    <w:rsid w:val="00333E4D"/>
    <w:rsid w:val="00345020"/>
    <w:rsid w:val="00351F62"/>
    <w:rsid w:val="0035657F"/>
    <w:rsid w:val="00360E0E"/>
    <w:rsid w:val="00391766"/>
    <w:rsid w:val="00395651"/>
    <w:rsid w:val="003A0FE8"/>
    <w:rsid w:val="003C7034"/>
    <w:rsid w:val="003D1120"/>
    <w:rsid w:val="003D2F73"/>
    <w:rsid w:val="003D4321"/>
    <w:rsid w:val="003D631E"/>
    <w:rsid w:val="003E6268"/>
    <w:rsid w:val="003E6DFB"/>
    <w:rsid w:val="003E6F73"/>
    <w:rsid w:val="003F4DF7"/>
    <w:rsid w:val="003F528F"/>
    <w:rsid w:val="00403372"/>
    <w:rsid w:val="00411E30"/>
    <w:rsid w:val="0041300F"/>
    <w:rsid w:val="00413799"/>
    <w:rsid w:val="00420E5E"/>
    <w:rsid w:val="00426142"/>
    <w:rsid w:val="00434AB5"/>
    <w:rsid w:val="00436BEC"/>
    <w:rsid w:val="00446CBF"/>
    <w:rsid w:val="00460226"/>
    <w:rsid w:val="004A5F82"/>
    <w:rsid w:val="004A675A"/>
    <w:rsid w:val="004D17FE"/>
    <w:rsid w:val="004D235F"/>
    <w:rsid w:val="004E33B9"/>
    <w:rsid w:val="004F0DC2"/>
    <w:rsid w:val="004F31A5"/>
    <w:rsid w:val="00501B10"/>
    <w:rsid w:val="0050466C"/>
    <w:rsid w:val="00505373"/>
    <w:rsid w:val="00506090"/>
    <w:rsid w:val="00535428"/>
    <w:rsid w:val="005575E5"/>
    <w:rsid w:val="00563E59"/>
    <w:rsid w:val="005725AF"/>
    <w:rsid w:val="00587B23"/>
    <w:rsid w:val="005A0A49"/>
    <w:rsid w:val="005D3E02"/>
    <w:rsid w:val="005E049D"/>
    <w:rsid w:val="005E343E"/>
    <w:rsid w:val="005F3BED"/>
    <w:rsid w:val="0061185C"/>
    <w:rsid w:val="00616E43"/>
    <w:rsid w:val="006430C7"/>
    <w:rsid w:val="00646402"/>
    <w:rsid w:val="006478DC"/>
    <w:rsid w:val="006565E6"/>
    <w:rsid w:val="00656677"/>
    <w:rsid w:val="006873DB"/>
    <w:rsid w:val="006A2FF4"/>
    <w:rsid w:val="006A3212"/>
    <w:rsid w:val="006A552B"/>
    <w:rsid w:val="006B1927"/>
    <w:rsid w:val="006B32DB"/>
    <w:rsid w:val="006B5235"/>
    <w:rsid w:val="006D2C9E"/>
    <w:rsid w:val="006D494C"/>
    <w:rsid w:val="006E50F9"/>
    <w:rsid w:val="006F53F5"/>
    <w:rsid w:val="00701D41"/>
    <w:rsid w:val="0070695C"/>
    <w:rsid w:val="007131EE"/>
    <w:rsid w:val="0071745D"/>
    <w:rsid w:val="00722F48"/>
    <w:rsid w:val="00746C34"/>
    <w:rsid w:val="007476C5"/>
    <w:rsid w:val="007562D2"/>
    <w:rsid w:val="00756EC0"/>
    <w:rsid w:val="0076450A"/>
    <w:rsid w:val="0076531E"/>
    <w:rsid w:val="007706E7"/>
    <w:rsid w:val="00774C7E"/>
    <w:rsid w:val="00783A03"/>
    <w:rsid w:val="00791560"/>
    <w:rsid w:val="00792C69"/>
    <w:rsid w:val="007A4396"/>
    <w:rsid w:val="007B3A8F"/>
    <w:rsid w:val="007B5AB1"/>
    <w:rsid w:val="007C7629"/>
    <w:rsid w:val="007E0594"/>
    <w:rsid w:val="007E3C37"/>
    <w:rsid w:val="007F354D"/>
    <w:rsid w:val="008122CB"/>
    <w:rsid w:val="00823A07"/>
    <w:rsid w:val="00872F96"/>
    <w:rsid w:val="00875BC9"/>
    <w:rsid w:val="00881BE5"/>
    <w:rsid w:val="0089285A"/>
    <w:rsid w:val="008A464E"/>
    <w:rsid w:val="008A5163"/>
    <w:rsid w:val="008C187E"/>
    <w:rsid w:val="008C2DE4"/>
    <w:rsid w:val="008C40F0"/>
    <w:rsid w:val="008D6A7D"/>
    <w:rsid w:val="00916357"/>
    <w:rsid w:val="00921522"/>
    <w:rsid w:val="009279F9"/>
    <w:rsid w:val="00932D53"/>
    <w:rsid w:val="00942987"/>
    <w:rsid w:val="00942988"/>
    <w:rsid w:val="0094418F"/>
    <w:rsid w:val="0094646D"/>
    <w:rsid w:val="00947021"/>
    <w:rsid w:val="009624A4"/>
    <w:rsid w:val="00962EEF"/>
    <w:rsid w:val="00963BD6"/>
    <w:rsid w:val="00971BCA"/>
    <w:rsid w:val="009853AB"/>
    <w:rsid w:val="009A20C8"/>
    <w:rsid w:val="009A6423"/>
    <w:rsid w:val="009B05F8"/>
    <w:rsid w:val="009B1B61"/>
    <w:rsid w:val="009F7B60"/>
    <w:rsid w:val="00A16D4E"/>
    <w:rsid w:val="00A241CF"/>
    <w:rsid w:val="00A2511F"/>
    <w:rsid w:val="00A33452"/>
    <w:rsid w:val="00A40FD0"/>
    <w:rsid w:val="00A41658"/>
    <w:rsid w:val="00A5170D"/>
    <w:rsid w:val="00A534E0"/>
    <w:rsid w:val="00A96B97"/>
    <w:rsid w:val="00A97CA5"/>
    <w:rsid w:val="00AA57EA"/>
    <w:rsid w:val="00AD0D8B"/>
    <w:rsid w:val="00B0419F"/>
    <w:rsid w:val="00B0449C"/>
    <w:rsid w:val="00B079A6"/>
    <w:rsid w:val="00B34BE2"/>
    <w:rsid w:val="00B36A27"/>
    <w:rsid w:val="00B37167"/>
    <w:rsid w:val="00B4070A"/>
    <w:rsid w:val="00B60627"/>
    <w:rsid w:val="00B673B3"/>
    <w:rsid w:val="00B70498"/>
    <w:rsid w:val="00B82090"/>
    <w:rsid w:val="00B83306"/>
    <w:rsid w:val="00B96763"/>
    <w:rsid w:val="00B96D34"/>
    <w:rsid w:val="00BA23CD"/>
    <w:rsid w:val="00BC16E5"/>
    <w:rsid w:val="00BC64C9"/>
    <w:rsid w:val="00BD4487"/>
    <w:rsid w:val="00BF3FB9"/>
    <w:rsid w:val="00C03218"/>
    <w:rsid w:val="00C0414B"/>
    <w:rsid w:val="00C1424A"/>
    <w:rsid w:val="00C437F9"/>
    <w:rsid w:val="00C60CB3"/>
    <w:rsid w:val="00C73043"/>
    <w:rsid w:val="00C776A5"/>
    <w:rsid w:val="00C86637"/>
    <w:rsid w:val="00C90538"/>
    <w:rsid w:val="00CA30A7"/>
    <w:rsid w:val="00CB53EB"/>
    <w:rsid w:val="00CD7D86"/>
    <w:rsid w:val="00CE1E00"/>
    <w:rsid w:val="00CF5B74"/>
    <w:rsid w:val="00D035BD"/>
    <w:rsid w:val="00D1722F"/>
    <w:rsid w:val="00D42640"/>
    <w:rsid w:val="00D474F2"/>
    <w:rsid w:val="00D81BCF"/>
    <w:rsid w:val="00D862FA"/>
    <w:rsid w:val="00DA670E"/>
    <w:rsid w:val="00DC17C1"/>
    <w:rsid w:val="00DC5376"/>
    <w:rsid w:val="00DC7B0B"/>
    <w:rsid w:val="00DD754D"/>
    <w:rsid w:val="00DD7C32"/>
    <w:rsid w:val="00DE549E"/>
    <w:rsid w:val="00E03CF0"/>
    <w:rsid w:val="00E103D6"/>
    <w:rsid w:val="00E300A0"/>
    <w:rsid w:val="00E34B77"/>
    <w:rsid w:val="00E35E59"/>
    <w:rsid w:val="00E50874"/>
    <w:rsid w:val="00E642EF"/>
    <w:rsid w:val="00E6672F"/>
    <w:rsid w:val="00E75474"/>
    <w:rsid w:val="00EB254C"/>
    <w:rsid w:val="00ED7828"/>
    <w:rsid w:val="00ED7F8D"/>
    <w:rsid w:val="00EE7552"/>
    <w:rsid w:val="00F16641"/>
    <w:rsid w:val="00F16E7A"/>
    <w:rsid w:val="00F21E08"/>
    <w:rsid w:val="00F32146"/>
    <w:rsid w:val="00F376BB"/>
    <w:rsid w:val="00F52BAC"/>
    <w:rsid w:val="00F56B3C"/>
    <w:rsid w:val="00F76684"/>
    <w:rsid w:val="00F819C2"/>
    <w:rsid w:val="00F84554"/>
    <w:rsid w:val="00FB182D"/>
    <w:rsid w:val="00FD3394"/>
    <w:rsid w:val="00FE1CA1"/>
    <w:rsid w:val="00FE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C4AD"/>
  <w15:chartTrackingRefBased/>
  <w15:docId w15:val="{71F0673F-A9D7-4792-8207-3A22F6D7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D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D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D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D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D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D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D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D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D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D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D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6D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D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F5F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F52B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4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0F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F65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65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65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5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53B"/>
    <w:rPr>
      <w:b/>
      <w:bCs/>
      <w:sz w:val="20"/>
      <w:szCs w:val="20"/>
    </w:rPr>
  </w:style>
  <w:style w:type="paragraph" w:customStyle="1" w:styleId="paragraph">
    <w:name w:val="paragraph"/>
    <w:basedOn w:val="Normal"/>
    <w:rsid w:val="00F1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F16641"/>
  </w:style>
  <w:style w:type="character" w:customStyle="1" w:styleId="eop">
    <w:name w:val="eop"/>
    <w:basedOn w:val="DefaultParagraphFont"/>
    <w:rsid w:val="00F16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2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de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Details xmlns="31a4b0e3-be9f-4fb2-8eec-467923e7b4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792C63AF5FA468D0D80E807000FB7" ma:contentTypeVersion="8" ma:contentTypeDescription="Create a new document." ma:contentTypeScope="" ma:versionID="d5f2dac9ad556ef33a158312775b5dda">
  <xsd:schema xmlns:xsd="http://www.w3.org/2001/XMLSchema" xmlns:xs="http://www.w3.org/2001/XMLSchema" xmlns:p="http://schemas.microsoft.com/office/2006/metadata/properties" xmlns:ns2="31a4b0e3-be9f-4fb2-8eec-467923e7b49d" targetNamespace="http://schemas.microsoft.com/office/2006/metadata/properties" ma:root="true" ma:fieldsID="cd68b6a0ea7d8c06e944a70af01abf6a" ns2:_="">
    <xsd:import namespace="31a4b0e3-be9f-4fb2-8eec-467923e7b49d"/>
    <xsd:element name="properties">
      <xsd:complexType>
        <xsd:sequence>
          <xsd:element name="documentManagement">
            <xsd:complexType>
              <xsd:all>
                <xsd:element ref="ns2:Photo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4b0e3-be9f-4fb2-8eec-467923e7b49d" elementFormDefault="qualified">
    <xsd:import namespace="http://schemas.microsoft.com/office/2006/documentManagement/types"/>
    <xsd:import namespace="http://schemas.microsoft.com/office/infopath/2007/PartnerControls"/>
    <xsd:element name="PhotoDetails" ma:index="8" nillable="true" ma:displayName="Photo Details" ma:format="Dropdown" ma:internalName="PhotoDetail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DAFDF7-CB2E-4BB7-A3BE-CF71C779F456}">
  <ds:schemaRefs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31a4b0e3-be9f-4fb2-8eec-467923e7b49d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CE9C832-4DFC-4B70-989C-F6D3E618E6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41A585-A89D-470A-B8B8-B9F53012D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4b0e3-be9f-4fb2-8eec-467923e7b4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ef12a1-af58-44c4-b029-712fc0605570}" enabled="0" method="" siteId="{15ef12a1-af58-44c4-b029-712fc06055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3417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Pfaff, Katherine M</dc:creator>
  <cp:keywords/>
  <dc:description/>
  <cp:lastModifiedBy>Wozniak, Amanda V</cp:lastModifiedBy>
  <cp:revision>2</cp:revision>
  <cp:lastPrinted>2025-11-04T19:54:00Z</cp:lastPrinted>
  <dcterms:created xsi:type="dcterms:W3CDTF">2025-12-02T22:30:00Z</dcterms:created>
  <dcterms:modified xsi:type="dcterms:W3CDTF">2025-12-02T22:30:00Z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0x01010066C792C63AF5FA468D0D80E807000FB7</vt:lpwstr>
  </property>
</Properties>
</file>